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3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bookmarkStart w:id="3" w:name="_GoBack"/>
      <w:bookmarkEnd w:id="3"/>
    </w:p>
    <w:p>
      <w:pPr>
        <w:pStyle w:val="10"/>
        <w:keepNext/>
        <w:keepLines/>
        <w:spacing w:after="240" w:afterLines="100" w:line="500" w:lineRule="exact"/>
        <w:ind w:left="0"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bookmark9"/>
      <w:bookmarkStart w:id="1" w:name="bookmark11"/>
      <w:bookmarkStart w:id="2" w:name="bookmark1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第四季度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拖欠农民工工资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  <w:t>失信联合惩戒对象名单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eastAsia="zh-CN" w:bidi="zh-CN"/>
        </w:rPr>
        <w:t>信息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bookmarkEnd w:id="0"/>
      <w:bookmarkEnd w:id="1"/>
      <w:bookmarkEnd w:id="2"/>
    </w:p>
    <w:tbl>
      <w:tblPr>
        <w:tblStyle w:val="7"/>
        <w:tblW w:w="14030" w:type="dxa"/>
        <w:tblInd w:w="-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1177"/>
        <w:gridCol w:w="1639"/>
        <w:gridCol w:w="1535"/>
        <w:gridCol w:w="1223"/>
        <w:gridCol w:w="2053"/>
        <w:gridCol w:w="1062"/>
        <w:gridCol w:w="1038"/>
        <w:gridCol w:w="1235"/>
        <w:gridCol w:w="1338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3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单位名称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color w:val="000000"/>
                <w:lang w:val="en-US" w:eastAsia="zh-CN" w:bidi="ar"/>
              </w:rPr>
              <w:t>统一社会信用代码或工商注册号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color w:val="000000"/>
                <w:lang w:val="en-US" w:eastAsia="zh-CN" w:bidi="ar"/>
              </w:rPr>
              <w:t>法定代表人或相关责任人姓名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color w:val="000000"/>
                <w:lang w:val="en-US" w:eastAsia="zh-CN" w:bidi="ar"/>
              </w:rPr>
              <w:t>法定代表人或自然人身份证件号码</w:t>
            </w:r>
          </w:p>
        </w:tc>
        <w:tc>
          <w:tcPr>
            <w:tcW w:w="20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i w:val="0"/>
                <w:iCs w:val="0"/>
                <w:color w:val="000000"/>
                <w:lang w:val="en-US" w:eastAsia="zh-CN" w:bidi="ar"/>
              </w:rPr>
              <w:t>主要违法事实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作出列入决定部门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列入决定文书号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列入日期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color w:val="000000"/>
                <w:lang w:val="en-US" w:eastAsia="zh-CN" w:bidi="ar"/>
              </w:rPr>
              <w:t>到期日期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是否支付（包括全部支付、部分支付和未支付）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宁夏德芙源建筑劳务有限公司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91640100MA773CU06U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该公司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在萧县京茂悦府项目施工期间拖欠李科等9名工人工资26.1万元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人社监令决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〔2023〕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2026年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部分支付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ZWNjMjhkNTFkOTM3ZTliZWRiMzc2ZTdhYzQ3YWQifQ=="/>
  </w:docVars>
  <w:rsids>
    <w:rsidRoot w:val="00000000"/>
    <w:rsid w:val="011D224C"/>
    <w:rsid w:val="03E61084"/>
    <w:rsid w:val="0FF56939"/>
    <w:rsid w:val="48013425"/>
    <w:rsid w:val="5D8874F6"/>
    <w:rsid w:val="6B99320E"/>
    <w:rsid w:val="719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 w:line="360" w:lineRule="auto"/>
      <w:ind w:firstLine="0" w:firstLineChars="0"/>
      <w:jc w:val="center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ind w:firstLine="0" w:firstLineChars="0"/>
      <w:outlineLvl w:val="1"/>
    </w:pPr>
    <w:rPr>
      <w:rFonts w:ascii="Arial" w:hAnsi="Arial" w:eastAsia="楷体"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uiPriority w:val="0"/>
    <w:pPr>
      <w:ind w:firstLine="420" w:firstLineChars="200"/>
    </w:pPr>
  </w:style>
  <w:style w:type="paragraph" w:customStyle="1" w:styleId="9">
    <w:name w:val="Body text|1"/>
    <w:basedOn w:val="1"/>
    <w:autoRedefine/>
    <w:qFormat/>
    <w:uiPriority w:val="0"/>
    <w:pPr>
      <w:spacing w:line="46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Heading #2|1"/>
    <w:basedOn w:val="1"/>
    <w:autoRedefine/>
    <w:qFormat/>
    <w:uiPriority w:val="0"/>
    <w:pPr>
      <w:spacing w:after="480" w:line="274" w:lineRule="auto"/>
      <w:ind w:left="880" w:hanging="5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1">
    <w:name w:val="font11"/>
    <w:basedOn w:val="8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61"/>
    <w:basedOn w:val="8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2023-04-10T08:55:00Z</dcterms:created>
  <dc:creator>Administrator</dc:creator>
  <cp:lastModifiedBy>不二臣</cp:lastModifiedBy>
  <dcterms:modified xsi:type="dcterms:W3CDTF">2024-01-04T01:30:00Z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BABA83F0B7D645D3BA315381EC82F4DF_12</vt:lpwstr>
  </property>
</Properties>
</file>