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宿州市地方标准编制说明</w:t>
      </w:r>
    </w:p>
    <w:tbl>
      <w:tblPr>
        <w:tblStyle w:val="2"/>
        <w:tblW w:w="969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331"/>
        <w:gridCol w:w="3780"/>
        <w:gridCol w:w="1559"/>
        <w:gridCol w:w="2091"/>
        <w:gridCol w:w="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标准名称</w:t>
            </w:r>
          </w:p>
        </w:tc>
        <w:tc>
          <w:tcPr>
            <w:tcW w:w="7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居民服务一卡通服务平台 接入技术规范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任务来源</w:t>
            </w:r>
          </w:p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（项目计划号）</w:t>
            </w:r>
          </w:p>
        </w:tc>
        <w:tc>
          <w:tcPr>
            <w:tcW w:w="7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根据</w:t>
            </w:r>
            <w:bookmarkStart w:id="0" w:name="_Hlk34840492"/>
            <w:r>
              <w:rPr>
                <w:rFonts w:hint="eastAsia" w:ascii="宋体" w:hAnsi="宋体"/>
                <w:szCs w:val="21"/>
              </w:rPr>
              <w:t>宿州市市场监督管理局《关于下达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2022年宿州市地方</w:t>
            </w:r>
            <w:r>
              <w:rPr>
                <w:rFonts w:hint="eastAsia" w:ascii="宋体" w:hAnsi="宋体"/>
                <w:szCs w:val="21"/>
              </w:rPr>
              <w:t>标准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制修订</w:t>
            </w:r>
            <w:r>
              <w:rPr>
                <w:rFonts w:hint="eastAsia" w:ascii="宋体" w:hAnsi="宋体"/>
                <w:szCs w:val="21"/>
              </w:rPr>
              <w:t>计划的通知</w:t>
            </w:r>
            <w:bookmarkEnd w:id="0"/>
            <w:r>
              <w:rPr>
                <w:rFonts w:hint="eastAsia" w:ascii="宋体" w:hAnsi="宋体"/>
                <w:szCs w:val="21"/>
              </w:rPr>
              <w:t>》（宿市监函〔202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ascii="宋体" w:hAnsi="宋体"/>
                <w:szCs w:val="21"/>
              </w:rPr>
              <w:t>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101</w:t>
            </w:r>
            <w:r>
              <w:rPr>
                <w:rFonts w:ascii="宋体" w:hAnsi="宋体"/>
                <w:szCs w:val="21"/>
              </w:rPr>
              <w:t>号</w:t>
            </w:r>
            <w:r>
              <w:rPr>
                <w:rFonts w:hint="eastAsia" w:ascii="宋体" w:hAnsi="宋体"/>
                <w:szCs w:val="21"/>
              </w:rPr>
              <w:t>）（计划</w:t>
            </w:r>
            <w:r>
              <w:rPr>
                <w:rFonts w:hint="eastAsia"/>
              </w:rPr>
              <w:t>号2</w:t>
            </w:r>
            <w:r>
              <w:t>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-</w:t>
            </w:r>
            <w:r>
              <w:t>1</w:t>
            </w:r>
            <w:r>
              <w:rPr>
                <w:rFonts w:hint="eastAsia"/>
              </w:rPr>
              <w:t>-</w:t>
            </w:r>
            <w:r>
              <w:t>1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left="420"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第一起草单位</w:t>
            </w:r>
          </w:p>
        </w:tc>
        <w:tc>
          <w:tcPr>
            <w:tcW w:w="7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宿州市人力资源和社会保障局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单位地址</w:t>
            </w:r>
          </w:p>
        </w:tc>
        <w:tc>
          <w:tcPr>
            <w:tcW w:w="7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安徽省宿州市埇桥区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云集十号楼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kern w:val="2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参与起草单位</w:t>
            </w:r>
          </w:p>
        </w:tc>
        <w:tc>
          <w:tcPr>
            <w:tcW w:w="7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left"/>
              <w:rPr>
                <w:rFonts w:hint="eastAsia" w:hAnsi="宋体"/>
                <w:kern w:val="2"/>
                <w:szCs w:val="21"/>
              </w:rPr>
            </w:pPr>
            <w:r>
              <w:rPr>
                <w:rFonts w:hint="eastAsia"/>
              </w:rPr>
              <w:t>宿州市数据资源</w:t>
            </w:r>
            <w:r>
              <w:rPr>
                <w:rFonts w:hint="eastAsia"/>
                <w:lang w:val="en-US" w:eastAsia="zh-CN"/>
              </w:rPr>
              <w:t>管理局</w:t>
            </w:r>
            <w:r>
              <w:rPr>
                <w:rFonts w:hint="eastAsia"/>
              </w:rPr>
              <w:t>、宿州市交通运输局、宿州市公共交通有限公司、宿州市文化</w:t>
            </w:r>
            <w:r>
              <w:rPr>
                <w:rFonts w:hint="eastAsia"/>
                <w:lang w:val="en-US" w:eastAsia="zh-CN"/>
              </w:rPr>
              <w:t>和</w:t>
            </w:r>
            <w:r>
              <w:rPr>
                <w:rFonts w:hint="eastAsia"/>
              </w:rPr>
              <w:t>旅游局。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9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numPr>
                <w:ilvl w:val="0"/>
                <w:numId w:val="0"/>
              </w:numPr>
              <w:spacing w:line="360" w:lineRule="auto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标准起草人（全部起草人，应与标准文本前言中起草人排序一致）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210" w:firstLineChars="10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姓名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840" w:firstLineChars="40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单位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职称/职务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left="420"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default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刘锋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宿州市人力资源和社会保障局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主任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default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0557-3027981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程松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宿州市人力资源和社会保障数据管理中心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科员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default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0557-3027981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崔龙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宿州市人力资源和社会保障数据管理中心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工作人员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default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0557-3027981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张梦龙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/>
              </w:rPr>
              <w:t>宿州市数据资源</w:t>
            </w:r>
            <w:r>
              <w:rPr>
                <w:rFonts w:hint="eastAsia"/>
                <w:lang w:val="en-US" w:eastAsia="zh-CN"/>
              </w:rPr>
              <w:t>管理局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科员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color w:val="000000"/>
                <w:szCs w:val="21"/>
              </w:rPr>
              <w:t>0557</w:t>
            </w: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-</w:t>
            </w:r>
            <w:r>
              <w:rPr>
                <w:rFonts w:hint="eastAsia" w:hAnsi="宋体"/>
                <w:color w:val="000000"/>
                <w:szCs w:val="21"/>
              </w:rPr>
              <w:t>3323095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朱俊臣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/>
              </w:rPr>
              <w:t>宿州市数据资源</w:t>
            </w:r>
            <w:r>
              <w:rPr>
                <w:rFonts w:hint="eastAsia"/>
                <w:lang w:val="en-US" w:eastAsia="zh-CN"/>
              </w:rPr>
              <w:t>管理局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科员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color w:val="000000"/>
                <w:szCs w:val="21"/>
              </w:rPr>
              <w:t>0557</w:t>
            </w: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-</w:t>
            </w:r>
            <w:r>
              <w:rPr>
                <w:rFonts w:hint="eastAsia" w:hAnsi="宋体"/>
                <w:color w:val="000000"/>
                <w:szCs w:val="21"/>
              </w:rPr>
              <w:t>3323095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高庆涛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/>
              </w:rPr>
              <w:t>宿州市交通运输局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科长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0557-3903993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高元元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/>
              </w:rPr>
              <w:t>宿州市交通运输局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工作人员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/>
              </w:rPr>
              <w:t>0557-3903993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蒋春峰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/>
              </w:rPr>
              <w:t>宿州市公共交通有限公司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副总经理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13855721920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付瑶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/>
              </w:rPr>
              <w:t>宿州市公共交通有限公司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副主任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15656780907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default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default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徐珂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/>
              </w:rPr>
              <w:t>宿州市文化</w:t>
            </w:r>
            <w:r>
              <w:rPr>
                <w:rFonts w:hint="eastAsia"/>
                <w:lang w:val="en-US" w:eastAsia="zh-CN"/>
              </w:rPr>
              <w:t>和</w:t>
            </w:r>
            <w:r>
              <w:rPr>
                <w:rFonts w:hint="eastAsia"/>
              </w:rPr>
              <w:t>旅游局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科长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default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18055786662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60" w:lineRule="auto"/>
              <w:ind w:left="420"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编制情况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1、编制过程简介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4" w:hRule="atLeast"/>
        </w:trPr>
        <w:tc>
          <w:tcPr>
            <w:tcW w:w="9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本标准根据宿州市市场监督管理局《</w:t>
            </w:r>
            <w:r>
              <w:rPr>
                <w:rFonts w:hint="eastAsia" w:ascii="宋体" w:hAnsi="宋体"/>
                <w:szCs w:val="21"/>
              </w:rPr>
              <w:t>关于下达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2022年宿州市地方</w:t>
            </w:r>
            <w:r>
              <w:rPr>
                <w:rFonts w:hint="eastAsia" w:ascii="宋体" w:hAnsi="宋体"/>
                <w:szCs w:val="21"/>
              </w:rPr>
              <w:t>标准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制修订</w:t>
            </w:r>
            <w:r>
              <w:rPr>
                <w:rFonts w:hint="eastAsia" w:ascii="宋体" w:hAnsi="宋体"/>
                <w:szCs w:val="21"/>
              </w:rPr>
              <w:t>计划的通知》（宿市监函〔202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ascii="宋体" w:hAnsi="宋体"/>
                <w:szCs w:val="21"/>
              </w:rPr>
              <w:t>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101</w:t>
            </w:r>
            <w:r>
              <w:rPr>
                <w:rFonts w:ascii="宋体" w:hAnsi="宋体"/>
                <w:szCs w:val="21"/>
              </w:rPr>
              <w:t>号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hAnsi="宋体"/>
                <w:color w:val="000000"/>
              </w:rPr>
              <w:t>，由</w:t>
            </w:r>
            <w:r>
              <w:rPr>
                <w:rFonts w:hint="eastAsia" w:hAnsi="宋体"/>
                <w:color w:val="000000"/>
                <w:lang w:val="en-US" w:eastAsia="zh-CN"/>
              </w:rPr>
              <w:t>宿州市人力资源和社会保障数据管理中心</w:t>
            </w:r>
            <w:r>
              <w:rPr>
                <w:rFonts w:hint="eastAsia" w:hAnsi="宋体"/>
                <w:color w:val="000000"/>
              </w:rPr>
              <w:t>、</w:t>
            </w:r>
            <w:r>
              <w:rPr>
                <w:rFonts w:hint="eastAsia" w:hAnsi="宋体"/>
                <w:color w:val="000000"/>
                <w:lang w:val="en-US" w:eastAsia="zh-CN"/>
              </w:rPr>
              <w:t>宿州市数据资源管理局、宿州市交通运输局、宿州市公共交通有限公司、宿州市文化和旅游局</w:t>
            </w:r>
            <w:r>
              <w:rPr>
                <w:rFonts w:hint="eastAsia" w:hAnsi="宋体"/>
                <w:color w:val="000000"/>
              </w:rPr>
              <w:t>起草，编制《</w:t>
            </w:r>
            <w:r>
              <w:rPr>
                <w:rFonts w:hint="eastAsia" w:hAnsi="宋体"/>
                <w:color w:val="000000"/>
                <w:lang w:val="en-US" w:eastAsia="zh-CN"/>
              </w:rPr>
              <w:t>居民服务一卡通服务平台 接入技术规范</w:t>
            </w:r>
            <w:r>
              <w:rPr>
                <w:rFonts w:hint="eastAsia" w:hAnsi="宋体"/>
                <w:color w:val="000000"/>
              </w:rPr>
              <w:t>》标准。</w:t>
            </w:r>
          </w:p>
          <w:p>
            <w:pPr>
              <w:pStyle w:val="4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1</w:t>
            </w:r>
            <w:r>
              <w:rPr>
                <w:rFonts w:hint="eastAsia" w:hAnsi="宋体"/>
                <w:color w:val="000000"/>
              </w:rPr>
              <w:t>、任务下达：</w:t>
            </w:r>
            <w:r>
              <w:rPr>
                <w:rFonts w:hAnsi="宋体"/>
                <w:color w:val="000000"/>
              </w:rPr>
              <w:t>202</w:t>
            </w:r>
            <w:r>
              <w:rPr>
                <w:rFonts w:hint="eastAsia" w:hAnsi="宋体"/>
                <w:color w:val="000000"/>
                <w:lang w:val="en-US" w:eastAsia="zh-CN"/>
              </w:rPr>
              <w:t>2</w:t>
            </w:r>
            <w:r>
              <w:rPr>
                <w:rFonts w:hint="eastAsia" w:hAnsi="宋体"/>
                <w:color w:val="000000"/>
              </w:rPr>
              <w:t>年7月收到宿州市市场监督管理局《</w:t>
            </w:r>
            <w:r>
              <w:rPr>
                <w:rFonts w:hint="eastAsia" w:ascii="宋体" w:hAnsi="宋体"/>
                <w:szCs w:val="21"/>
              </w:rPr>
              <w:t>关于下达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2022年宿州市地方</w:t>
            </w:r>
            <w:r>
              <w:rPr>
                <w:rFonts w:hint="eastAsia" w:ascii="宋体" w:hAnsi="宋体"/>
                <w:szCs w:val="21"/>
              </w:rPr>
              <w:t>标准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制修订</w:t>
            </w:r>
            <w:r>
              <w:rPr>
                <w:rFonts w:hint="eastAsia" w:ascii="宋体" w:hAnsi="宋体"/>
                <w:szCs w:val="21"/>
              </w:rPr>
              <w:t>计划的通知》（宿市监函〔202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ascii="宋体" w:hAnsi="宋体"/>
                <w:szCs w:val="21"/>
              </w:rPr>
              <w:t>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101</w:t>
            </w:r>
            <w:r>
              <w:rPr>
                <w:rFonts w:ascii="宋体" w:hAnsi="宋体"/>
                <w:szCs w:val="21"/>
              </w:rPr>
              <w:t>号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hAnsi="宋体"/>
                <w:color w:val="000000"/>
              </w:rPr>
              <w:t>，《</w:t>
            </w:r>
            <w:r>
              <w:rPr>
                <w:rFonts w:hint="eastAsia" w:hAnsi="宋体"/>
                <w:color w:val="000000"/>
                <w:lang w:val="en-US" w:eastAsia="zh-CN"/>
              </w:rPr>
              <w:t>居民服务一卡通服务平台 接入技术规范</w:t>
            </w:r>
            <w:r>
              <w:rPr>
                <w:rFonts w:hint="eastAsia" w:hAnsi="宋体"/>
                <w:color w:val="000000"/>
              </w:rPr>
              <w:t>》地方标准正式立项。</w:t>
            </w:r>
          </w:p>
          <w:p>
            <w:pPr>
              <w:pStyle w:val="4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2</w:t>
            </w:r>
            <w:r>
              <w:rPr>
                <w:rFonts w:hint="eastAsia" w:hAnsi="宋体"/>
                <w:color w:val="000000"/>
              </w:rPr>
              <w:t>、成立小组：成立标准编制工作小组，明确了小组成员、职责，明确了标准起草的进度安排及工作分工。</w:t>
            </w:r>
            <w:r>
              <w:rPr>
                <w:rFonts w:hint="eastAsia"/>
                <w:color w:val="000000"/>
              </w:rPr>
              <w:t>标准起草工作组制定了标准编制工作计划、编写大纲，明确任务分工及各阶段进度时间。</w:t>
            </w:r>
          </w:p>
          <w:p>
            <w:pPr>
              <w:pStyle w:val="4"/>
              <w:rPr>
                <w:rFonts w:hAnsi="宋体"/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、组织学习：标准起草工作组成员认真学习了</w:t>
            </w:r>
            <w:r>
              <w:rPr>
                <w:color w:val="000000"/>
              </w:rPr>
              <w:t>GB/T 1.1—2020</w:t>
            </w:r>
            <w:r>
              <w:rPr>
                <w:rFonts w:hint="eastAsia"/>
                <w:color w:val="000000"/>
              </w:rPr>
              <w:t>《标准化工作导则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部分：标准的结构和编写规则》结合标准制定工作程序的各个环节，进行了探讨和研究。</w:t>
            </w:r>
          </w:p>
          <w:p>
            <w:pPr>
              <w:pStyle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、组织研讨：</w:t>
            </w:r>
            <w:r>
              <w:rPr>
                <w:color w:val="000000"/>
              </w:rPr>
              <w:t>202</w:t>
            </w:r>
            <w:r>
              <w:rPr>
                <w:rFonts w:hint="eastAsia"/>
                <w:color w:val="000000"/>
                <w:lang w:val="en-US" w:eastAsia="zh-CN"/>
              </w:rPr>
              <w:t>2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  <w:lang w:val="en-US" w:eastAsia="zh-CN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  <w:lang w:val="en-US" w:eastAsia="zh-CN"/>
              </w:rPr>
              <w:t>8</w:t>
            </w:r>
            <w:r>
              <w:rPr>
                <w:rFonts w:hint="eastAsia"/>
                <w:color w:val="000000"/>
              </w:rPr>
              <w:t>月，多次召开地方标准研讨会。后期将多次组织研讨会，对草案进行讨论，同时邀请行业专家进行审核把关，根据专家意见进一步修改完善，形成征求意见稿。</w:t>
            </w:r>
          </w:p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、形成意见征集稿：标准起草工作组按照研讨和调研结果，对草案稿提出的意见、建议进行了认真分析、理解和总结，迅速开展标准的征求意见稿编制，编写完成了地方标准《</w:t>
            </w:r>
            <w:r>
              <w:rPr>
                <w:rFonts w:hint="eastAsia"/>
                <w:color w:val="000000"/>
                <w:lang w:val="en-US" w:eastAsia="zh-CN"/>
              </w:rPr>
              <w:t>居民服务一卡通服务平台 接入技术规范</w:t>
            </w:r>
            <w:r>
              <w:rPr>
                <w:rFonts w:hint="eastAsia"/>
                <w:color w:val="000000"/>
              </w:rPr>
              <w:t>》的征求意见稿初稿。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4"/>
              <w:adjustRightInd w:val="0"/>
              <w:spacing w:line="360" w:lineRule="auto"/>
              <w:ind w:firstLine="0" w:firstLineChars="0"/>
              <w:rPr>
                <w:rFonts w:hAnsi="宋体"/>
              </w:rPr>
            </w:pPr>
            <w:r>
              <w:rPr>
                <w:rFonts w:hAnsi="宋体"/>
              </w:rPr>
              <w:t>2</w:t>
            </w:r>
            <w:r>
              <w:rPr>
                <w:rFonts w:hint="eastAsia" w:hAnsi="宋体"/>
              </w:rPr>
              <w:t>、制定标准的必要性和意义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居民服务一卡通工程是贯彻落实习近平总书记讲话精神、省市委相关规划决议的具体举措，，一卡通平台相关规范作为一卡通工程不可分割的重要组成部分，时间表、任务书、责任清单清晰明确，实施具备必要性。</w:t>
            </w:r>
          </w:p>
          <w:p>
            <w:pPr>
              <w:pStyle w:val="4"/>
              <w:rPr>
                <w:rFonts w:hint="default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sz w:val="22"/>
                <w:szCs w:val="22"/>
                <w:lang w:val="en-US" w:eastAsia="zh-CN"/>
              </w:rPr>
              <w:t>本标准规定了</w:t>
            </w:r>
            <w:r>
              <w:rPr>
                <w:rFonts w:hint="eastAsia"/>
                <w:color w:val="000000"/>
                <w:lang w:val="en-US" w:eastAsia="zh-CN"/>
              </w:rPr>
              <w:t>技术接入规范</w:t>
            </w:r>
            <w:r>
              <w:rPr>
                <w:rFonts w:hint="eastAsia"/>
                <w:color w:val="000000"/>
              </w:rPr>
              <w:t>的术语和定义、</w:t>
            </w:r>
            <w:r>
              <w:rPr>
                <w:rFonts w:hint="eastAsia"/>
                <w:color w:val="000000"/>
                <w:lang w:val="en-US" w:eastAsia="zh-CN"/>
              </w:rPr>
              <w:t>基本要求、接入流程、接口要求、接入方法、接入安全控制</w:t>
            </w:r>
            <w:r>
              <w:rPr>
                <w:rFonts w:hint="eastAsia" w:hAnsi="宋体"/>
                <w:sz w:val="22"/>
                <w:szCs w:val="22"/>
                <w:lang w:val="en-US" w:eastAsia="zh-CN"/>
              </w:rPr>
              <w:t>，适用于居民服务一卡通服务平台在技术接入方面提供技术指导。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4"/>
              <w:adjustRightInd w:val="0"/>
              <w:spacing w:line="360" w:lineRule="auto"/>
              <w:ind w:firstLine="0" w:firstLineChars="0"/>
              <w:rPr>
                <w:rFonts w:hAnsi="宋体"/>
              </w:rPr>
            </w:pPr>
            <w:r>
              <w:rPr>
                <w:rFonts w:hAnsi="宋体"/>
              </w:rPr>
              <w:t>3</w:t>
            </w:r>
            <w:r>
              <w:rPr>
                <w:rFonts w:hint="eastAsia" w:hAnsi="宋体"/>
              </w:rPr>
              <w:t>、制定标准的原则和依据，与现行法律法规、标准的关系。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4"/>
              <w:rPr>
                <w:rFonts w:hint="eastAsia" w:hAnsi="宋体" w:cs="仿宋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>标准编制遵循“先进性、实用性、统一性、规范性”的原则，注重标准的可操作性，严格按照</w:t>
            </w:r>
            <w:r>
              <w:rPr>
                <w:color w:val="000000"/>
              </w:rPr>
              <w:t>GB/T 1.1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color w:val="000000"/>
              </w:rPr>
              <w:t>2020</w:t>
            </w:r>
            <w:r>
              <w:rPr>
                <w:rFonts w:hint="eastAsia"/>
                <w:color w:val="000000"/>
              </w:rPr>
              <w:t>的要求进行编写。本标准符合《中华人民共和国标准化法》等法律、法规、规章和强制性国家标准的要求。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4"/>
              <w:adjustRightInd w:val="0"/>
              <w:spacing w:line="360" w:lineRule="auto"/>
              <w:ind w:firstLine="0" w:firstLineChars="0"/>
              <w:rPr>
                <w:rFonts w:hAnsi="宋体"/>
              </w:rPr>
            </w:pPr>
            <w:r>
              <w:rPr>
                <w:rFonts w:hAnsi="宋体"/>
              </w:rPr>
              <w:t>4</w:t>
            </w:r>
            <w:r>
              <w:rPr>
                <w:rFonts w:hint="eastAsia" w:hAnsi="宋体"/>
              </w:rPr>
              <w:t>、主要条款的说明，主要技术指标、参数、试验验证的论述（</w:t>
            </w:r>
            <w:r>
              <w:rPr>
                <w:rFonts w:hint="eastAsia" w:hAnsi="宋体"/>
                <w:b/>
                <w:bCs/>
              </w:rPr>
              <w:t>详细说明</w:t>
            </w:r>
            <w:r>
              <w:rPr>
                <w:rFonts w:hint="eastAsia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本文件规定了</w:t>
            </w:r>
            <w:r>
              <w:rPr>
                <w:rFonts w:hint="eastAsia"/>
                <w:color w:val="000000"/>
                <w:lang w:val="en-US" w:eastAsia="zh-CN"/>
              </w:rPr>
              <w:t>接入技术规范</w:t>
            </w:r>
            <w:r>
              <w:rPr>
                <w:rFonts w:hint="eastAsia"/>
                <w:color w:val="000000"/>
              </w:rPr>
              <w:t>的术语和定义、</w:t>
            </w:r>
            <w:r>
              <w:rPr>
                <w:rFonts w:hint="eastAsia"/>
                <w:color w:val="000000"/>
                <w:lang w:val="en-US" w:eastAsia="zh-CN"/>
              </w:rPr>
              <w:t>基本要求、接入流程、接口要求、接入方法、接入安全控制</w:t>
            </w:r>
            <w:r>
              <w:rPr>
                <w:rFonts w:hint="eastAsia"/>
                <w:color w:val="000000"/>
              </w:rPr>
              <w:t>。</w:t>
            </w:r>
          </w:p>
          <w:p>
            <w:pPr>
              <w:pStyle w:val="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术语和定义规定了</w:t>
            </w:r>
            <w:r>
              <w:rPr>
                <w:rFonts w:hint="eastAsia"/>
                <w:color w:val="000000"/>
                <w:lang w:val="en-US" w:eastAsia="zh-CN"/>
              </w:rPr>
              <w:t>居民服务一卡通服务平台、管理方、接入方、应用系统、业务场景</w:t>
            </w:r>
            <w:r>
              <w:rPr>
                <w:rFonts w:hint="eastAsia"/>
                <w:color w:val="000000"/>
              </w:rPr>
              <w:t>的术语和定义。</w:t>
            </w:r>
          </w:p>
          <w:p>
            <w:pPr>
              <w:pStyle w:val="4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基本要求规定了基本技术要求和接入网络类型。</w:t>
            </w:r>
          </w:p>
          <w:p>
            <w:pPr>
              <w:pStyle w:val="4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接入流程规定了应用接入流程、接入申请、接入测试和上线启用。</w:t>
            </w:r>
          </w:p>
          <w:p>
            <w:pPr>
              <w:pStyle w:val="4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接口要求规定了基本要求、HTTP接入方式技术要求和H5界面接入方式技术要求。</w:t>
            </w:r>
          </w:p>
          <w:p>
            <w:pPr>
              <w:pStyle w:val="4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接入方法规定了HTTP方式接入和H5应用接入两种接入方法要求。</w:t>
            </w:r>
          </w:p>
          <w:p>
            <w:pPr>
              <w:pStyle w:val="4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接入安全控制规定了身份认证、传输加密、加密传输过程和数据脱敏。</w:t>
            </w:r>
          </w:p>
          <w:p>
            <w:pPr>
              <w:pStyle w:val="4"/>
              <w:rPr>
                <w:rFonts w:hAnsi="宋体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>本文件适用于在</w:t>
            </w:r>
            <w:r>
              <w:rPr>
                <w:rFonts w:hint="eastAsia"/>
                <w:color w:val="000000"/>
                <w:lang w:val="en-US" w:eastAsia="zh-CN"/>
              </w:rPr>
              <w:t>居民服务一卡通服务平台中的技术接入应用</w:t>
            </w:r>
            <w:r>
              <w:rPr>
                <w:rFonts w:hint="eastAsia"/>
                <w:color w:val="00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4"/>
              <w:adjustRightInd w:val="0"/>
              <w:spacing w:line="360" w:lineRule="auto"/>
              <w:ind w:firstLine="0" w:firstLineChars="0"/>
              <w:rPr>
                <w:rFonts w:hAnsi="宋体"/>
              </w:rPr>
            </w:pPr>
            <w:bookmarkStart w:id="1" w:name="_Toc464905557"/>
            <w:bookmarkStart w:id="2" w:name="_Toc464902852"/>
            <w:bookmarkStart w:id="3" w:name="_Toc465074266"/>
            <w:bookmarkStart w:id="4" w:name="_Toc464905809"/>
            <w:bookmarkStart w:id="5" w:name="_Toc464905613"/>
            <w:r>
              <w:rPr>
                <w:rFonts w:hAnsi="宋体"/>
              </w:rPr>
              <w:t>5</w:t>
            </w:r>
            <w:r>
              <w:rPr>
                <w:rFonts w:hint="eastAsia" w:hAnsi="宋体"/>
              </w:rPr>
              <w:t>、标准中如果涉及专利，应有明确的知识产权说明</w:t>
            </w:r>
            <w:bookmarkEnd w:id="1"/>
            <w:bookmarkEnd w:id="2"/>
            <w:bookmarkEnd w:id="3"/>
            <w:bookmarkEnd w:id="4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4"/>
              <w:adjustRightInd w:val="0"/>
              <w:spacing w:line="360" w:lineRule="auto"/>
              <w:ind w:firstLine="0" w:firstLineChars="0"/>
              <w:rPr>
                <w:rFonts w:hAnsi="宋体"/>
              </w:rPr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4"/>
              <w:adjustRightInd w:val="0"/>
              <w:spacing w:line="360" w:lineRule="auto"/>
              <w:ind w:firstLine="0" w:firstLineChars="0"/>
              <w:rPr>
                <w:rFonts w:hAnsi="宋体"/>
              </w:rPr>
            </w:pPr>
            <w:bookmarkStart w:id="6" w:name="_Toc464902853"/>
            <w:bookmarkStart w:id="7" w:name="_Toc464905810"/>
            <w:bookmarkStart w:id="8" w:name="_Toc464905558"/>
            <w:bookmarkStart w:id="9" w:name="_Toc464905614"/>
            <w:bookmarkStart w:id="10" w:name="_Toc465074267"/>
            <w:r>
              <w:rPr>
                <w:rFonts w:hAnsi="宋体"/>
              </w:rPr>
              <w:t>6</w:t>
            </w:r>
            <w:r>
              <w:rPr>
                <w:rFonts w:hint="eastAsia" w:hAnsi="宋体"/>
              </w:rPr>
              <w:t>、采用国际标准或国外先进标准的，说明采标程度，以及国内外同类标准水平的对比情况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4"/>
              <w:adjustRightInd w:val="0"/>
              <w:spacing w:line="360" w:lineRule="auto"/>
              <w:ind w:firstLine="0" w:firstLineChars="0"/>
              <w:rPr>
                <w:rFonts w:hAnsi="宋体"/>
              </w:rPr>
            </w:pPr>
            <w:r>
              <w:rPr>
                <w:rFonts w:hint="eastAsia"/>
              </w:rPr>
              <w:t>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4"/>
              <w:adjustRightInd w:val="0"/>
              <w:spacing w:line="360" w:lineRule="auto"/>
              <w:ind w:firstLine="0" w:firstLineChars="0"/>
              <w:rPr>
                <w:rFonts w:hAnsi="宋体"/>
              </w:rPr>
            </w:pPr>
            <w:bookmarkStart w:id="11" w:name="_Toc464905811"/>
            <w:bookmarkStart w:id="12" w:name="_Toc464905559"/>
            <w:bookmarkStart w:id="13" w:name="_Toc464902854"/>
            <w:bookmarkStart w:id="14" w:name="_Toc464905615"/>
            <w:bookmarkStart w:id="15" w:name="_Toc465074268"/>
            <w:r>
              <w:rPr>
                <w:rFonts w:hAnsi="宋体"/>
              </w:rPr>
              <w:t>7</w:t>
            </w:r>
            <w:r>
              <w:rPr>
                <w:rFonts w:hint="eastAsia" w:hAnsi="宋体"/>
              </w:rPr>
              <w:t>、重大分歧意见的处理经过和依据</w:t>
            </w:r>
            <w:bookmarkEnd w:id="11"/>
            <w:bookmarkEnd w:id="12"/>
            <w:bookmarkEnd w:id="13"/>
            <w:bookmarkEnd w:id="14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4"/>
              <w:adjustRightInd w:val="0"/>
              <w:spacing w:line="360" w:lineRule="auto"/>
              <w:ind w:firstLine="0" w:firstLineChars="0"/>
              <w:rPr>
                <w:rFonts w:hAnsi="宋体"/>
              </w:rPr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4"/>
              <w:adjustRightInd w:val="0"/>
              <w:spacing w:line="360" w:lineRule="auto"/>
              <w:ind w:firstLine="0" w:firstLineChars="0"/>
              <w:rPr>
                <w:rFonts w:hAnsi="宋体"/>
              </w:rPr>
            </w:pPr>
            <w:bookmarkStart w:id="16" w:name="_Toc465074269"/>
            <w:bookmarkStart w:id="17" w:name="_Toc464905616"/>
            <w:bookmarkStart w:id="18" w:name="_Toc464905560"/>
            <w:bookmarkStart w:id="19" w:name="_Toc464902855"/>
            <w:bookmarkStart w:id="20" w:name="_Toc464905812"/>
            <w:r>
              <w:rPr>
                <w:rFonts w:hAnsi="宋体"/>
              </w:rPr>
              <w:t>8</w:t>
            </w:r>
            <w:r>
              <w:rPr>
                <w:rFonts w:hint="eastAsia" w:hAnsi="宋体"/>
              </w:rPr>
              <w:t>、贯彻标准的要求和措施建议（包括组织措施、技术措施、过渡办法、实施日期等）</w:t>
            </w:r>
            <w:bookmarkEnd w:id="16"/>
            <w:bookmarkEnd w:id="17"/>
            <w:bookmarkEnd w:id="18"/>
            <w:bookmarkEnd w:id="19"/>
            <w:bookmarkEnd w:id="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4"/>
              <w:adjustRightInd w:val="0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（一）组织措施</w:t>
            </w:r>
          </w:p>
          <w:p>
            <w:pPr>
              <w:pStyle w:val="4"/>
              <w:adjustRightInd w:val="0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标准发布后，有针对性的开展《</w:t>
            </w:r>
            <w:r>
              <w:rPr>
                <w:rFonts w:hint="eastAsia"/>
                <w:color w:val="000000"/>
                <w:lang w:val="en-US" w:eastAsia="zh-CN"/>
              </w:rPr>
              <w:t>居民服务一卡通服务平台 接入技术</w:t>
            </w:r>
            <w:bookmarkStart w:id="31" w:name="_GoBack"/>
            <w:bookmarkEnd w:id="31"/>
            <w:r>
              <w:rPr>
                <w:rFonts w:hint="eastAsia"/>
                <w:color w:val="000000"/>
                <w:lang w:val="en-US" w:eastAsia="zh-CN"/>
              </w:rPr>
              <w:t>规范</w:t>
            </w:r>
            <w:r>
              <w:rPr>
                <w:rFonts w:hint="eastAsia"/>
                <w:color w:val="000000"/>
              </w:rPr>
              <w:t>》</w:t>
            </w:r>
            <w:r>
              <w:rPr>
                <w:rFonts w:hint="eastAsia"/>
                <w:color w:val="000000"/>
                <w:lang w:val="en-US" w:eastAsia="zh-CN"/>
              </w:rPr>
              <w:t>落实工作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  <w:lang w:val="en-US" w:eastAsia="zh-CN"/>
              </w:rPr>
              <w:t>通过组织专题培训、标准讲座、互联网宣传和专人解答对接等多种方式</w:t>
            </w:r>
            <w:r>
              <w:rPr>
                <w:rFonts w:hint="eastAsia"/>
                <w:color w:val="000000"/>
              </w:rPr>
              <w:t>，落实标准的贯彻实施，增强标准的普及范围和实施力度。</w:t>
            </w:r>
          </w:p>
          <w:p>
            <w:pPr>
              <w:pStyle w:val="4"/>
              <w:adjustRightInd w:val="0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（二）技术措施</w:t>
            </w:r>
          </w:p>
          <w:p>
            <w:pPr>
              <w:pStyle w:val="4"/>
              <w:adjustRightInd w:val="0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通过标准的实施、监督、评价和改进活动，使标准得到有效运用。</w:t>
            </w:r>
          </w:p>
          <w:p>
            <w:pPr>
              <w:pStyle w:val="4"/>
              <w:adjustRightInd w:val="0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（三）过渡办法</w:t>
            </w:r>
          </w:p>
          <w:p>
            <w:pPr>
              <w:pStyle w:val="4"/>
              <w:adjustRightInd w:val="0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由相关领导部门联合组织各级相关部门开展学习研讨活动。</w:t>
            </w:r>
          </w:p>
          <w:p>
            <w:pPr>
              <w:pStyle w:val="4"/>
              <w:adjustRightInd w:val="0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（四）实施日期</w:t>
            </w:r>
          </w:p>
          <w:p>
            <w:pPr>
              <w:pStyle w:val="4"/>
              <w:adjustRightInd w:val="0"/>
              <w:spacing w:line="360" w:lineRule="auto"/>
              <w:ind w:firstLine="420" w:firstLineChars="200"/>
              <w:rPr>
                <w:rFonts w:ascii="宋体" w:hAnsi="宋体" w:eastAsia="宋体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建议标准尽快发布实施，由相关管理部门联合起草单位在全市范围内开展宣贯活动，积极推动标准实施和应用。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4"/>
              <w:adjustRightInd w:val="0"/>
              <w:spacing w:line="360" w:lineRule="auto"/>
              <w:ind w:firstLine="0" w:firstLineChars="0"/>
              <w:rPr>
                <w:rFonts w:hAnsi="宋体"/>
              </w:rPr>
            </w:pPr>
            <w:bookmarkStart w:id="21" w:name="_Toc464905617"/>
            <w:bookmarkStart w:id="22" w:name="_Toc464902856"/>
            <w:bookmarkStart w:id="23" w:name="_Toc465074270"/>
            <w:bookmarkStart w:id="24" w:name="_Toc464905813"/>
            <w:bookmarkStart w:id="25" w:name="_Toc464905561"/>
            <w:r>
              <w:rPr>
                <w:rFonts w:hAnsi="宋体"/>
              </w:rPr>
              <w:t>9</w:t>
            </w:r>
            <w:r>
              <w:rPr>
                <w:rFonts w:hint="eastAsia" w:hAnsi="宋体"/>
              </w:rPr>
              <w:t>、废止现行相关标准的建议</w:t>
            </w:r>
            <w:bookmarkEnd w:id="21"/>
            <w:bookmarkEnd w:id="22"/>
            <w:bookmarkEnd w:id="23"/>
            <w:bookmarkEnd w:id="24"/>
            <w:bookmarkEnd w:id="2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4"/>
              <w:adjustRightInd w:val="0"/>
              <w:spacing w:line="360" w:lineRule="auto"/>
              <w:ind w:firstLine="0" w:firstLineChars="0"/>
              <w:rPr>
                <w:rFonts w:hAnsi="宋体"/>
              </w:rPr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4"/>
              <w:adjustRightInd w:val="0"/>
              <w:spacing w:line="360" w:lineRule="auto"/>
              <w:ind w:firstLine="0" w:firstLineChars="0"/>
              <w:rPr>
                <w:rFonts w:hAnsi="宋体"/>
              </w:rPr>
            </w:pPr>
            <w:bookmarkStart w:id="26" w:name="_Toc465074271"/>
            <w:bookmarkStart w:id="27" w:name="_Toc464905562"/>
            <w:bookmarkStart w:id="28" w:name="_Toc464902857"/>
            <w:bookmarkStart w:id="29" w:name="_Toc464905618"/>
            <w:bookmarkStart w:id="30" w:name="_Toc464905814"/>
            <w:r>
              <w:rPr>
                <w:rFonts w:hAnsi="宋体"/>
              </w:rPr>
              <w:t>10</w:t>
            </w:r>
            <w:r>
              <w:rPr>
                <w:rFonts w:hint="eastAsia" w:hAnsi="宋体"/>
              </w:rPr>
              <w:t>、其它应予说明的事项</w:t>
            </w:r>
            <w:bookmarkEnd w:id="26"/>
            <w:bookmarkEnd w:id="27"/>
            <w:bookmarkEnd w:id="28"/>
            <w:bookmarkEnd w:id="29"/>
            <w:bookmark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20" w:hRule="atLeast"/>
        </w:trPr>
        <w:tc>
          <w:tcPr>
            <w:tcW w:w="9604" w:type="dxa"/>
            <w:gridSpan w:val="6"/>
            <w:noWrap/>
            <w:vAlign w:val="center"/>
          </w:tcPr>
          <w:p>
            <w:pPr>
              <w:pStyle w:val="4"/>
              <w:adjustRightInd w:val="0"/>
              <w:spacing w:line="360" w:lineRule="auto"/>
              <w:ind w:firstLine="0" w:firstLineChars="0"/>
              <w:rPr>
                <w:rFonts w:hAnsi="宋体"/>
              </w:rPr>
            </w:pPr>
            <w:r>
              <w:rPr>
                <w:rFonts w:hint="eastAsia"/>
              </w:rPr>
              <w:t>无</w:t>
            </w:r>
          </w:p>
        </w:tc>
      </w:tr>
    </w:tbl>
    <w:p>
      <w:pPr>
        <w:pStyle w:val="6"/>
        <w:numPr>
          <w:ilvl w:val="0"/>
          <w:numId w:val="3"/>
        </w:numPr>
      </w:pPr>
      <w:r>
        <w:rPr>
          <w:rFonts w:hint="eastAsia"/>
        </w:rPr>
        <w:t>没有的请填写“无”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827D5B"/>
    <w:multiLevelType w:val="multilevel"/>
    <w:tmpl w:val="22827D5B"/>
    <w:lvl w:ilvl="0" w:tentative="0">
      <w:start w:val="1"/>
      <w:numFmt w:val="none"/>
      <w:pStyle w:val="6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">
    <w:nsid w:val="646260FA"/>
    <w:multiLevelType w:val="multilevel"/>
    <w:tmpl w:val="646260FA"/>
    <w:lvl w:ilvl="0" w:tentative="0">
      <w:start w:val="1"/>
      <w:numFmt w:val="decimal"/>
      <w:pStyle w:val="5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>
    <w:nsid w:val="6DBF04F4"/>
    <w:multiLevelType w:val="multilevel"/>
    <w:tmpl w:val="6DBF04F4"/>
    <w:lvl w:ilvl="0" w:tentative="0">
      <w:start w:val="1"/>
      <w:numFmt w:val="none"/>
      <w:pStyle w:val="7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3YmFkNDlkOGYzZWM1Y2I3MWRmOGQ1MTdjMzEwYjgifQ=="/>
  </w:docVars>
  <w:rsids>
    <w:rsidRoot w:val="5F63509E"/>
    <w:rsid w:val="04BF2511"/>
    <w:rsid w:val="06784825"/>
    <w:rsid w:val="21035D8D"/>
    <w:rsid w:val="229B75FD"/>
    <w:rsid w:val="24E164DF"/>
    <w:rsid w:val="3212519C"/>
    <w:rsid w:val="42F12E7F"/>
    <w:rsid w:val="435642AB"/>
    <w:rsid w:val="4BD31180"/>
    <w:rsid w:val="5BE727D7"/>
    <w:rsid w:val="5F63509E"/>
    <w:rsid w:val="6E1851A5"/>
    <w:rsid w:val="7B8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5">
    <w:name w:val="正文表标题"/>
    <w:next w:val="4"/>
    <w:qFormat/>
    <w:uiPriority w:val="0"/>
    <w:pPr>
      <w:numPr>
        <w:ilvl w:val="0"/>
        <w:numId w:val="1"/>
      </w:numPr>
      <w:tabs>
        <w:tab w:val="left" w:pos="360"/>
      </w:tabs>
      <w:spacing w:before="156" w:beforeLines="50" w:after="156" w:afterLines="50"/>
      <w:jc w:val="center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6">
    <w:name w:val="注：（正文）"/>
    <w:basedOn w:val="7"/>
    <w:next w:val="4"/>
    <w:qFormat/>
    <w:uiPriority w:val="99"/>
    <w:pPr>
      <w:numPr>
        <w:ilvl w:val="0"/>
        <w:numId w:val="2"/>
      </w:numPr>
    </w:pPr>
  </w:style>
  <w:style w:type="paragraph" w:customStyle="1" w:styleId="7">
    <w:name w:val="注："/>
    <w:next w:val="4"/>
    <w:qFormat/>
    <w:uiPriority w:val="99"/>
    <w:pPr>
      <w:widowControl w:val="0"/>
      <w:numPr>
        <w:ilvl w:val="0"/>
        <w:numId w:val="3"/>
      </w:numPr>
      <w:autoSpaceDE w:val="0"/>
      <w:autoSpaceDN w:val="0"/>
      <w:jc w:val="both"/>
    </w:pPr>
    <w:rPr>
      <w:rFonts w:ascii="宋体" w:hAnsi="Calibri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1963</Words>
  <Characters>2139</Characters>
  <Lines>0</Lines>
  <Paragraphs>0</Paragraphs>
  <TotalTime>4</TotalTime>
  <ScaleCrop>false</ScaleCrop>
  <LinksUpToDate>false</LinksUpToDate>
  <CharactersWithSpaces>2149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2022-08-03T07:36:00Z</dcterms:created>
  <dc:creator>菜本彩</dc:creator>
  <cp:lastModifiedBy>菜本彩</cp:lastModifiedBy>
  <dcterms:modified xsi:type="dcterms:W3CDTF">2022-08-05T08:53:09Z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3C4CE72E40EE4976B1460D55B217174E</vt:lpwstr>
  </property>
</Properties>
</file>